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6D94" w14:textId="77777777" w:rsidR="006D67AC" w:rsidRDefault="006D67AC" w:rsidP="00A37794">
      <w:pPr>
        <w:spacing w:after="0"/>
        <w:jc w:val="center"/>
        <w:rPr>
          <w:rFonts w:ascii="Calibri" w:hAnsi="Calibri"/>
          <w:b/>
          <w:color w:val="033A80"/>
          <w:sz w:val="24"/>
          <w:szCs w:val="40"/>
          <w:lang w:val="es-CO"/>
        </w:rPr>
      </w:pPr>
    </w:p>
    <w:p w14:paraId="3F461A73" w14:textId="77777777" w:rsidR="006D67AC" w:rsidRDefault="006D67AC" w:rsidP="00B640D4">
      <w:pPr>
        <w:spacing w:after="0"/>
        <w:rPr>
          <w:rFonts w:ascii="Calibri" w:hAnsi="Calibri"/>
          <w:b/>
          <w:color w:val="033A80"/>
          <w:sz w:val="24"/>
          <w:szCs w:val="40"/>
          <w:lang w:val="es-CO"/>
        </w:rPr>
      </w:pPr>
    </w:p>
    <w:p w14:paraId="08845780" w14:textId="381E78AA" w:rsidR="00A37794" w:rsidRPr="00B640D4" w:rsidRDefault="00A37794" w:rsidP="00B640D4">
      <w:pPr>
        <w:spacing w:after="0"/>
        <w:jc w:val="center"/>
        <w:rPr>
          <w:rFonts w:ascii="Calibri" w:hAnsi="Calibri"/>
          <w:b/>
          <w:color w:val="033A80"/>
          <w:sz w:val="24"/>
          <w:szCs w:val="40"/>
          <w:lang w:val="es-CO"/>
        </w:rPr>
      </w:pPr>
      <w:r w:rsidRPr="00A37794">
        <w:rPr>
          <w:rFonts w:ascii="Calibri" w:hAnsi="Calibri"/>
          <w:b/>
          <w:color w:val="033A80"/>
          <w:sz w:val="24"/>
          <w:szCs w:val="40"/>
          <w:lang w:val="es-CO"/>
        </w:rPr>
        <w:t>COMUNICADO NUMERO 007 A LA COMUNIDAD DEL MUNICIPIO DE ÚMBITA BOYACÁ</w:t>
      </w:r>
    </w:p>
    <w:p w14:paraId="3008718A" w14:textId="77777777" w:rsidR="006D67AC" w:rsidRPr="00A37794" w:rsidRDefault="006D67AC" w:rsidP="00A37794">
      <w:pPr>
        <w:rPr>
          <w:lang w:val="es-ES"/>
        </w:rPr>
      </w:pPr>
    </w:p>
    <w:p w14:paraId="3D646856" w14:textId="77777777" w:rsidR="00A37794" w:rsidRDefault="00A37794" w:rsidP="00A37794">
      <w:pPr>
        <w:rPr>
          <w:lang w:val="es-ES"/>
        </w:rPr>
      </w:pPr>
      <w:r w:rsidRPr="00A37794">
        <w:rPr>
          <w:lang w:val="es-ES"/>
        </w:rPr>
        <w:t>24 de junio de 2026</w:t>
      </w:r>
    </w:p>
    <w:p w14:paraId="303034E0" w14:textId="77777777" w:rsidR="006D67AC" w:rsidRPr="00A37794" w:rsidRDefault="006D67AC" w:rsidP="00A37794">
      <w:pPr>
        <w:rPr>
          <w:lang w:val="es-ES"/>
        </w:rPr>
      </w:pPr>
    </w:p>
    <w:p w14:paraId="312992E8" w14:textId="77777777" w:rsidR="00A37794" w:rsidRPr="00A37794" w:rsidRDefault="00A37794" w:rsidP="00A37794">
      <w:pPr>
        <w:rPr>
          <w:lang w:val="es-ES"/>
        </w:rPr>
      </w:pPr>
      <w:r w:rsidRPr="00A37794">
        <w:rPr>
          <w:lang w:val="es-ES"/>
        </w:rPr>
        <w:t>La Veeduría Ciudadana en Defensa de los Intereses de la Comunidad del Municipio de Úmbita informa a la comunidad que el día 22 de junio de 2026 se llevó a cabo una mesa de diálogo con el Instituto Geográfico Agustín Codazzi (IGAC), convocada por la Dirección Territorial Boyacá en la ciudad de Tunja, con el propósito de analizar las inquietudes presentadas por la ciudadanía respecto de los valores catastrales establecidos para el municipio. En la reunión participaron representantes de la Administración Municipal de Úmbita, entre ellos el Ingeniero Juan Vicente Jiménez, director de Planeación Municipal y la doctora Diana Rocío Torres Veloza, secretaria de Hacienda Municipal; delegados del IGAC, integrantes de la Veeduría Ciudadana y ciudadanos del municipio.</w:t>
      </w:r>
    </w:p>
    <w:p w14:paraId="22F5A054" w14:textId="77777777" w:rsidR="00A37794" w:rsidRPr="00A37794" w:rsidRDefault="00A37794" w:rsidP="00A37794">
      <w:pPr>
        <w:rPr>
          <w:lang w:val="es-ES"/>
        </w:rPr>
      </w:pPr>
      <w:r w:rsidRPr="00A37794">
        <w:rPr>
          <w:lang w:val="es-ES"/>
        </w:rPr>
        <w:t xml:space="preserve">Acuerdos alcanzados:  </w:t>
      </w:r>
    </w:p>
    <w:p w14:paraId="44148C62" w14:textId="77777777" w:rsidR="00A37794" w:rsidRPr="00A37794" w:rsidRDefault="00A37794" w:rsidP="00A37794">
      <w:pPr>
        <w:rPr>
          <w:lang w:val="es-ES"/>
        </w:rPr>
      </w:pPr>
      <w:r w:rsidRPr="00A37794">
        <w:rPr>
          <w:lang w:val="es-ES"/>
        </w:rPr>
        <w:t>•</w:t>
      </w:r>
      <w:proofErr w:type="gramStart"/>
      <w:r w:rsidRPr="00A37794">
        <w:rPr>
          <w:rFonts w:ascii="Segoe UI Symbol" w:hAnsi="Segoe UI Symbol" w:cs="Segoe UI Symbol"/>
          <w:lang w:val="es-ES"/>
        </w:rPr>
        <w:t>⁠</w:t>
      </w:r>
      <w:r w:rsidRPr="00A37794">
        <w:rPr>
          <w:lang w:val="es-ES"/>
        </w:rPr>
        <w:t xml:space="preserve">  </w:t>
      </w:r>
      <w:r w:rsidRPr="00A37794">
        <w:rPr>
          <w:rFonts w:ascii="Segoe UI Symbol" w:hAnsi="Segoe UI Symbol" w:cs="Segoe UI Symbol"/>
          <w:lang w:val="es-ES"/>
        </w:rPr>
        <w:t>⁠</w:t>
      </w:r>
      <w:proofErr w:type="gramEnd"/>
      <w:r w:rsidRPr="00A37794">
        <w:rPr>
          <w:lang w:val="es-ES"/>
        </w:rPr>
        <w:t>La Veeduría Ciudadana, con el acompañamiento de la Administración Municipal, realizará la recopilación y revisión de la información técnica necesaria para sustentar las observaciones formuladas frente a los estudios y valores catastrales vigentes. La información y los soportes técnicos que se consoliden serán presentados al IGAC para su análisis y evaluación, con el fin de determinar la procedencia de eventuales ajustes que reflejen adecuadamente las condiciones físicas, económicas y sociales del municipio.</w:t>
      </w:r>
    </w:p>
    <w:p w14:paraId="635A6B95" w14:textId="77777777" w:rsidR="00A37794" w:rsidRPr="00A37794" w:rsidRDefault="00A37794" w:rsidP="00A37794">
      <w:pPr>
        <w:rPr>
          <w:lang w:val="es-ES"/>
        </w:rPr>
      </w:pPr>
      <w:r w:rsidRPr="00A37794">
        <w:rPr>
          <w:lang w:val="es-ES"/>
        </w:rPr>
        <w:t>•</w:t>
      </w:r>
      <w:proofErr w:type="gramStart"/>
      <w:r w:rsidRPr="00A37794">
        <w:rPr>
          <w:rFonts w:ascii="Segoe UI Symbol" w:hAnsi="Segoe UI Symbol" w:cs="Segoe UI Symbol"/>
          <w:lang w:val="es-ES"/>
        </w:rPr>
        <w:t>⁠</w:t>
      </w:r>
      <w:r w:rsidRPr="00A37794">
        <w:rPr>
          <w:lang w:val="es-ES"/>
        </w:rPr>
        <w:t xml:space="preserve">  </w:t>
      </w:r>
      <w:r w:rsidRPr="00A37794">
        <w:rPr>
          <w:rFonts w:ascii="Segoe UI Symbol" w:hAnsi="Segoe UI Symbol" w:cs="Segoe UI Symbol"/>
          <w:lang w:val="es-ES"/>
        </w:rPr>
        <w:t>⁠</w:t>
      </w:r>
      <w:proofErr w:type="gramEnd"/>
      <w:r w:rsidRPr="00A37794">
        <w:rPr>
          <w:lang w:val="es-ES"/>
        </w:rPr>
        <w:t xml:space="preserve">Se definió la conformación de un equipo técnico delegado por la Mesa Veedora que, en trabajo articulado con la Secretaría de Planeación Municipal, adelantará una revisión rigurosa del componente físico y económico de la actualización catastral. Esta labor se enfocará en evaluar detalladamente la metodología de delimitación de las Zonas Homogéneas Físicas y Geoeconómicas y los valores comerciales de terreno derivados de estas. Dado que la adecuada estructuración de estas variables es fundamental, el objetivo central es proyectar una propuesta técnica, sólidamente soportada, que permita corregir y replantear el modelo </w:t>
      </w:r>
      <w:proofErr w:type="spellStart"/>
      <w:r w:rsidRPr="00A37794">
        <w:rPr>
          <w:lang w:val="es-ES"/>
        </w:rPr>
        <w:t>valuatorio</w:t>
      </w:r>
      <w:proofErr w:type="spellEnd"/>
      <w:r w:rsidRPr="00A37794">
        <w:rPr>
          <w:lang w:val="es-ES"/>
        </w:rPr>
        <w:t xml:space="preserve"> para ser socializada y sustentada ante el IGAC, garantizando así la equidad y el rigor técnico en el municipio.  </w:t>
      </w:r>
    </w:p>
    <w:p w14:paraId="1EDE271F" w14:textId="77777777" w:rsidR="00A37794" w:rsidRPr="00A37794" w:rsidRDefault="00A37794" w:rsidP="00A37794">
      <w:pPr>
        <w:rPr>
          <w:lang w:val="es-ES"/>
        </w:rPr>
      </w:pPr>
      <w:r w:rsidRPr="00A37794">
        <w:rPr>
          <w:lang w:val="es-ES"/>
        </w:rPr>
        <w:t>•</w:t>
      </w:r>
      <w:proofErr w:type="gramStart"/>
      <w:r w:rsidRPr="00A37794">
        <w:rPr>
          <w:rFonts w:ascii="Segoe UI Symbol" w:hAnsi="Segoe UI Symbol" w:cs="Segoe UI Symbol"/>
          <w:lang w:val="es-ES"/>
        </w:rPr>
        <w:t>⁠</w:t>
      </w:r>
      <w:r w:rsidRPr="00A37794">
        <w:rPr>
          <w:lang w:val="es-ES"/>
        </w:rPr>
        <w:t xml:space="preserve">  </w:t>
      </w:r>
      <w:r w:rsidRPr="00A37794">
        <w:rPr>
          <w:rFonts w:ascii="Segoe UI Symbol" w:hAnsi="Segoe UI Symbol" w:cs="Segoe UI Symbol"/>
          <w:lang w:val="es-ES"/>
        </w:rPr>
        <w:t>⁠</w:t>
      </w:r>
      <w:proofErr w:type="gramEnd"/>
      <w:r w:rsidRPr="00A37794">
        <w:rPr>
          <w:lang w:val="es-ES"/>
        </w:rPr>
        <w:t xml:space="preserve">La Veeduría Ciudadana informará oportunamente a la comunidad la fecha de la segunda mesa técnica de trabajo con el IGAC, en la cual se presentarán los avances y resultados del proceso de revisión. </w:t>
      </w:r>
    </w:p>
    <w:p w14:paraId="4B8F8AA1" w14:textId="77777777" w:rsidR="00A37794" w:rsidRPr="00A37794" w:rsidRDefault="00A37794" w:rsidP="00A37794">
      <w:pPr>
        <w:rPr>
          <w:lang w:val="es-ES"/>
        </w:rPr>
      </w:pPr>
      <w:r w:rsidRPr="00A37794">
        <w:rPr>
          <w:lang w:val="es-ES"/>
        </w:rPr>
        <w:lastRenderedPageBreak/>
        <w:t>•</w:t>
      </w:r>
      <w:r w:rsidRPr="00A37794">
        <w:rPr>
          <w:rFonts w:ascii="Segoe UI Symbol" w:hAnsi="Segoe UI Symbol" w:cs="Segoe UI Symbol"/>
          <w:lang w:val="es-ES"/>
        </w:rPr>
        <w:t>⁠</w:t>
      </w:r>
      <w:r w:rsidRPr="00A37794">
        <w:rPr>
          <w:lang w:val="es-ES"/>
        </w:rPr>
        <w:t xml:space="preserve">  </w:t>
      </w:r>
      <w:r w:rsidRPr="00A37794">
        <w:rPr>
          <w:rFonts w:ascii="Segoe UI Symbol" w:hAnsi="Segoe UI Symbol" w:cs="Segoe UI Symbol"/>
          <w:lang w:val="es-ES"/>
        </w:rPr>
        <w:t>⁠</w:t>
      </w:r>
      <w:r w:rsidRPr="00A37794">
        <w:rPr>
          <w:lang w:val="es-ES"/>
        </w:rPr>
        <w:t>La Veeduría Ciudadana invita a los propietarios de predios urbanos del municipio que consideren que el avalúo catastral asignado no refleja las condiciones reales de sus inmuebles y que cuenten con soportes técnicos que respalden dicha situación, a acercarse a la Mesa de Veeduría para presentar la información correspondiente, La recepción y consolidación de esta información estará a cargo del coordinador de la Veeduría, Iván Cruz Buitrago, con el fin de fortalecer el sustento técnico que será presentado ante el IGAC dentro del proceso de revisión que actualmente se adelanta</w:t>
      </w:r>
    </w:p>
    <w:p w14:paraId="5CC62F6F" w14:textId="77777777" w:rsidR="00A37794" w:rsidRPr="00A37794" w:rsidRDefault="00A37794" w:rsidP="00A37794">
      <w:pPr>
        <w:rPr>
          <w:lang w:val="es-ES"/>
        </w:rPr>
      </w:pPr>
    </w:p>
    <w:p w14:paraId="3A169336" w14:textId="77777777" w:rsidR="00A37794" w:rsidRPr="00A37794" w:rsidRDefault="00A37794" w:rsidP="00A37794">
      <w:pPr>
        <w:rPr>
          <w:lang w:val="es-ES"/>
        </w:rPr>
      </w:pPr>
      <w:r w:rsidRPr="00A37794">
        <w:rPr>
          <w:lang w:val="es-ES"/>
        </w:rPr>
        <w:t>La participación de la comunidad es fundamental para garantizar que las observaciones presentadas cuenten con el debido respaldo técnico y contribuyan a la búsqueda de soluciones justas y acordes con la realidad del municipio, La Veeduría agradece el acompañamiento de la comunidad y reitera su compromiso de continuar adelantando las gestiones necesarias, de manera transparente y con fundamento técnico, en defensa de los intereses de los habitantes del municipio de Úmbita, Boyacá.</w:t>
      </w:r>
    </w:p>
    <w:p w14:paraId="0F1A48F3" w14:textId="77777777" w:rsidR="00A37794" w:rsidRPr="00A37794" w:rsidRDefault="00A37794" w:rsidP="00A37794">
      <w:pPr>
        <w:rPr>
          <w:lang w:val="es-ES"/>
        </w:rPr>
      </w:pPr>
    </w:p>
    <w:p w14:paraId="7E6D4CF1" w14:textId="77777777" w:rsidR="00A37794" w:rsidRPr="00A37794" w:rsidRDefault="00A37794" w:rsidP="00A37794">
      <w:pPr>
        <w:rPr>
          <w:lang w:val="es-ES"/>
        </w:rPr>
      </w:pPr>
      <w:r w:rsidRPr="00A37794">
        <w:rPr>
          <w:lang w:val="es-ES"/>
        </w:rPr>
        <w:t xml:space="preserve">Atentamente, </w:t>
      </w:r>
    </w:p>
    <w:p w14:paraId="422DC25F" w14:textId="77777777" w:rsidR="00A37794" w:rsidRPr="00A37794" w:rsidRDefault="00A37794" w:rsidP="00A37794">
      <w:pPr>
        <w:rPr>
          <w:lang w:val="es-ES"/>
        </w:rPr>
      </w:pPr>
    </w:p>
    <w:p w14:paraId="708683E9" w14:textId="607965A4" w:rsidR="00A37794" w:rsidRDefault="006D67AC" w:rsidP="00A37794">
      <w:pPr>
        <w:rPr>
          <w:lang w:val="es-ES"/>
        </w:rPr>
      </w:pPr>
      <w:r>
        <w:rPr>
          <w:lang w:val="es-ES"/>
        </w:rPr>
        <w:t xml:space="preserve">VEEDURÍA CIUDADANA DE UMBITA - </w:t>
      </w:r>
      <w:r w:rsidRPr="00A37794">
        <w:rPr>
          <w:lang w:val="es-ES"/>
        </w:rPr>
        <w:t>MESA DE DIÁLOGO, NEGOCIACIÓN EN DEFENSA DE LOS INTERESES DE LA COMUNIDAD DEL MUNICIPIO DE UMBITA BOYACÁ</w:t>
      </w:r>
    </w:p>
    <w:p w14:paraId="3F6304F1" w14:textId="77777777" w:rsidR="006D67AC" w:rsidRDefault="006D67AC" w:rsidP="00A37794">
      <w:pPr>
        <w:rPr>
          <w:lang w:val="es-ES"/>
        </w:rPr>
      </w:pPr>
    </w:p>
    <w:p w14:paraId="430DD295" w14:textId="77777777" w:rsidR="006D67AC" w:rsidRDefault="006D67AC" w:rsidP="00A37794">
      <w:pPr>
        <w:rPr>
          <w:lang w:val="es-ES"/>
        </w:rPr>
      </w:pPr>
    </w:p>
    <w:p w14:paraId="35D92A4B" w14:textId="77777777" w:rsidR="006D67AC" w:rsidRDefault="006D67AC" w:rsidP="00A37794">
      <w:pPr>
        <w:rPr>
          <w:lang w:val="es-ES"/>
        </w:rPr>
      </w:pPr>
    </w:p>
    <w:p w14:paraId="1930C4CC" w14:textId="77777777" w:rsidR="006D67AC" w:rsidRDefault="006D67AC" w:rsidP="00A37794">
      <w:pPr>
        <w:rPr>
          <w:lang w:val="es-ES"/>
        </w:rPr>
      </w:pPr>
    </w:p>
    <w:p w14:paraId="6E6CCF3E" w14:textId="77777777" w:rsidR="006D67AC" w:rsidRDefault="006D67AC" w:rsidP="00A37794">
      <w:pPr>
        <w:rPr>
          <w:lang w:val="es-ES"/>
        </w:rPr>
      </w:pPr>
    </w:p>
    <w:p w14:paraId="37C1B9E0" w14:textId="77777777" w:rsidR="006D67AC" w:rsidRPr="00A37794" w:rsidRDefault="006D67AC" w:rsidP="00A37794">
      <w:pPr>
        <w:rPr>
          <w:lang w:val="es-ES"/>
        </w:rPr>
      </w:pPr>
    </w:p>
    <w:p w14:paraId="3DF76EFC" w14:textId="234D3AB8" w:rsidR="00A37794" w:rsidRDefault="00A37794" w:rsidP="006D67AC">
      <w:pPr>
        <w:jc w:val="center"/>
        <w:rPr>
          <w:lang w:val="es-ES"/>
        </w:rPr>
      </w:pPr>
      <w:r w:rsidRPr="00A37794">
        <w:rPr>
          <w:lang w:val="es-ES"/>
        </w:rPr>
        <w:t xml:space="preserve">“Actuamos con sentido de pertenencia, </w:t>
      </w:r>
      <w:r>
        <w:rPr>
          <w:lang w:val="es-ES"/>
        </w:rPr>
        <w:t>Unidos por</w:t>
      </w:r>
      <w:r w:rsidRPr="00A37794">
        <w:rPr>
          <w:lang w:val="es-ES"/>
        </w:rPr>
        <w:t xml:space="preserve"> Umbita”</w:t>
      </w:r>
    </w:p>
    <w:sectPr w:rsidR="00A37794" w:rsidSect="006D67AC">
      <w:headerReference w:type="default" r:id="rId8"/>
      <w:footerReference w:type="default" r:id="rId9"/>
      <w:pgSz w:w="12240" w:h="15840"/>
      <w:pgMar w:top="1181" w:right="1325" w:bottom="1123" w:left="1325" w:header="317"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BE06" w14:textId="77777777" w:rsidR="009E2BCB" w:rsidRDefault="009E2BCB">
      <w:pPr>
        <w:spacing w:after="0" w:line="240" w:lineRule="auto"/>
      </w:pPr>
      <w:r>
        <w:separator/>
      </w:r>
    </w:p>
  </w:endnote>
  <w:endnote w:type="continuationSeparator" w:id="0">
    <w:p w14:paraId="6B990A59" w14:textId="77777777" w:rsidR="009E2BCB" w:rsidRDefault="009E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C387" w14:textId="77777777" w:rsidR="006C27F8" w:rsidRDefault="006C27F8">
    <w:pPr>
      <w:pStyle w:val="Piedepgina"/>
    </w:pPr>
  </w:p>
  <w:tbl>
    <w:tblPr>
      <w:tblW w:w="9580" w:type="dxa"/>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5850"/>
      <w:gridCol w:w="3730"/>
    </w:tblGrid>
    <w:tr w:rsidR="006C27F8" w14:paraId="5C8348BC" w14:textId="77777777">
      <w:trPr>
        <w:jc w:val="center"/>
      </w:trPr>
      <w:tc>
        <w:tcPr>
          <w:tcW w:w="5850" w:type="dxa"/>
          <w:tcMar>
            <w:top w:w="0" w:type="dxa"/>
            <w:left w:w="0" w:type="dxa"/>
            <w:bottom w:w="0" w:type="dxa"/>
            <w:right w:w="0" w:type="dxa"/>
          </w:tcMar>
        </w:tcPr>
        <w:p w14:paraId="3A2AE151" w14:textId="77777777" w:rsidR="006C27F8" w:rsidRPr="009D742A" w:rsidRDefault="00000000">
          <w:pPr>
            <w:spacing w:after="0"/>
            <w:rPr>
              <w:lang w:val="es-CO"/>
            </w:rPr>
          </w:pPr>
          <w:r w:rsidRPr="009D742A">
            <w:rPr>
              <w:rFonts w:ascii="Calibri" w:hAnsi="Calibri"/>
              <w:color w:val="5B6573"/>
              <w:sz w:val="15"/>
              <w:lang w:val="es-CO"/>
            </w:rPr>
            <w:t>Veeduría Ciudadana de Úmbita · Documento técnico en construcción</w:t>
          </w:r>
        </w:p>
      </w:tc>
      <w:tc>
        <w:tcPr>
          <w:tcW w:w="3730" w:type="dxa"/>
          <w:tcMar>
            <w:top w:w="0" w:type="dxa"/>
            <w:left w:w="0" w:type="dxa"/>
            <w:bottom w:w="0" w:type="dxa"/>
            <w:right w:w="0" w:type="dxa"/>
          </w:tcMar>
        </w:tcPr>
        <w:p w14:paraId="1A12C103" w14:textId="77777777" w:rsidR="006C27F8" w:rsidRDefault="00000000">
          <w:pPr>
            <w:spacing w:after="0"/>
            <w:jc w:val="right"/>
          </w:pPr>
          <w:r>
            <w:rPr>
              <w:rFonts w:ascii="Calibri" w:hAnsi="Calibri"/>
              <w:color w:val="5B6573"/>
              <w:sz w:val="15"/>
            </w:rPr>
            <w:t xml:space="preserve">Página </w:t>
          </w:r>
          <w:r>
            <w:rPr>
              <w:rFonts w:ascii="Calibri" w:hAnsi="Calibri"/>
              <w:color w:val="5B6573"/>
              <w:sz w:val="15"/>
            </w:rPr>
            <w:fldChar w:fldCharType="begin"/>
          </w:r>
          <w:r>
            <w:rPr>
              <w:rFonts w:ascii="Calibri" w:hAnsi="Calibri"/>
              <w:color w:val="5B6573"/>
              <w:sz w:val="15"/>
            </w:rPr>
            <w:instrText>PAGE</w:instrText>
          </w:r>
          <w:r>
            <w:rPr>
              <w:rFonts w:ascii="Calibri" w:hAnsi="Calibri"/>
              <w:color w:val="5B6573"/>
              <w:sz w:val="15"/>
            </w:rPr>
            <w:fldChar w:fldCharType="separate"/>
          </w:r>
          <w:r w:rsidR="009D742A">
            <w:rPr>
              <w:rFonts w:ascii="Calibri" w:hAnsi="Calibri"/>
              <w:noProof/>
              <w:color w:val="5B6573"/>
              <w:sz w:val="15"/>
            </w:rPr>
            <w:t>2</w:t>
          </w:r>
          <w:r>
            <w:rPr>
              <w:rFonts w:ascii="Calibri" w:hAnsi="Calibri"/>
              <w:color w:val="5B6573"/>
              <w:sz w:val="15"/>
            </w:rPr>
            <w:fldChar w:fldCharType="end"/>
          </w:r>
          <w:r>
            <w:rPr>
              <w:rFonts w:ascii="Calibri" w:hAnsi="Calibri"/>
              <w:color w:val="5B6573"/>
              <w:sz w:val="15"/>
            </w:rPr>
            <w:t xml:space="preserve"> de </w:t>
          </w:r>
          <w:r>
            <w:rPr>
              <w:rFonts w:ascii="Calibri" w:hAnsi="Calibri"/>
              <w:color w:val="5B6573"/>
              <w:sz w:val="15"/>
            </w:rPr>
            <w:fldChar w:fldCharType="begin"/>
          </w:r>
          <w:r>
            <w:rPr>
              <w:rFonts w:ascii="Calibri" w:hAnsi="Calibri"/>
              <w:color w:val="5B6573"/>
              <w:sz w:val="15"/>
            </w:rPr>
            <w:instrText>NUMPAGES</w:instrText>
          </w:r>
          <w:r>
            <w:rPr>
              <w:rFonts w:ascii="Calibri" w:hAnsi="Calibri"/>
              <w:color w:val="5B6573"/>
              <w:sz w:val="15"/>
            </w:rPr>
            <w:fldChar w:fldCharType="separate"/>
          </w:r>
          <w:r w:rsidR="009D742A">
            <w:rPr>
              <w:rFonts w:ascii="Calibri" w:hAnsi="Calibri"/>
              <w:noProof/>
              <w:color w:val="5B6573"/>
              <w:sz w:val="15"/>
            </w:rPr>
            <w:t>3</w:t>
          </w:r>
          <w:r>
            <w:rPr>
              <w:rFonts w:ascii="Calibri" w:hAnsi="Calibri"/>
              <w:color w:val="5B6573"/>
              <w:sz w:val="15"/>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37BE" w14:textId="77777777" w:rsidR="009E2BCB" w:rsidRDefault="009E2BCB">
      <w:pPr>
        <w:spacing w:after="0" w:line="240" w:lineRule="auto"/>
      </w:pPr>
      <w:r>
        <w:separator/>
      </w:r>
    </w:p>
  </w:footnote>
  <w:footnote w:type="continuationSeparator" w:id="0">
    <w:p w14:paraId="5CF9F14A" w14:textId="77777777" w:rsidR="009E2BCB" w:rsidRDefault="009E2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B9F5" w14:textId="77777777" w:rsidR="006C27F8" w:rsidRDefault="006C27F8">
    <w:pPr>
      <w:pStyle w:val="Encabezado"/>
    </w:pPr>
  </w:p>
  <w:tbl>
    <w:tblPr>
      <w:tblW w:w="9580" w:type="dxa"/>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2900"/>
      <w:gridCol w:w="6680"/>
    </w:tblGrid>
    <w:tr w:rsidR="006C27F8" w:rsidRPr="00A37794" w14:paraId="5D0C8566" w14:textId="77777777">
      <w:trPr>
        <w:jc w:val="center"/>
      </w:trPr>
      <w:tc>
        <w:tcPr>
          <w:tcW w:w="2900" w:type="dxa"/>
          <w:tcMar>
            <w:top w:w="0" w:type="dxa"/>
            <w:left w:w="0" w:type="dxa"/>
            <w:bottom w:w="0" w:type="dxa"/>
            <w:right w:w="0" w:type="dxa"/>
          </w:tcMar>
        </w:tcPr>
        <w:p w14:paraId="5980B98E" w14:textId="77777777" w:rsidR="006C27F8" w:rsidRDefault="00000000">
          <w:pPr>
            <w:spacing w:after="0"/>
          </w:pPr>
          <w:r>
            <w:rPr>
              <w:noProof/>
            </w:rPr>
            <w:drawing>
              <wp:inline distT="0" distB="0" distL="0" distR="0" wp14:anchorId="119B736D" wp14:editId="13A7DB8A">
                <wp:extent cx="1600200" cy="560070"/>
                <wp:effectExtent l="0" t="0" r="0" b="0"/>
                <wp:docPr id="486739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eeduria.png"/>
                        <pic:cNvPicPr/>
                      </pic:nvPicPr>
                      <pic:blipFill>
                        <a:blip r:embed="rId1"/>
                        <a:stretch>
                          <a:fillRect/>
                        </a:stretch>
                      </pic:blipFill>
                      <pic:spPr>
                        <a:xfrm>
                          <a:off x="0" y="0"/>
                          <a:ext cx="1600200" cy="560070"/>
                        </a:xfrm>
                        <a:prstGeom prst="rect">
                          <a:avLst/>
                        </a:prstGeom>
                      </pic:spPr>
                    </pic:pic>
                  </a:graphicData>
                </a:graphic>
              </wp:inline>
            </w:drawing>
          </w:r>
        </w:p>
      </w:tc>
      <w:tc>
        <w:tcPr>
          <w:tcW w:w="6680" w:type="dxa"/>
          <w:tcMar>
            <w:top w:w="0" w:type="dxa"/>
            <w:left w:w="0" w:type="dxa"/>
            <w:bottom w:w="0" w:type="dxa"/>
            <w:right w:w="0" w:type="dxa"/>
          </w:tcMar>
        </w:tcPr>
        <w:p w14:paraId="3A5B565A" w14:textId="4E661F34" w:rsidR="006C27F8" w:rsidRPr="00A37794" w:rsidRDefault="00A37794">
          <w:pPr>
            <w:spacing w:after="0"/>
            <w:jc w:val="right"/>
            <w:rPr>
              <w:rFonts w:ascii="Calibri" w:hAnsi="Calibri"/>
              <w:b/>
              <w:color w:val="033A80"/>
              <w:sz w:val="16"/>
              <w:lang w:val="es-CO"/>
            </w:rPr>
          </w:pPr>
          <w:r w:rsidRPr="00A37794">
            <w:rPr>
              <w:rFonts w:ascii="Calibri" w:hAnsi="Calibri"/>
              <w:b/>
              <w:color w:val="033A80"/>
              <w:sz w:val="16"/>
              <w:lang w:val="es-CO"/>
            </w:rPr>
            <w:t xml:space="preserve">COMUNICADO NUMERO 007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9E442D"/>
    <w:multiLevelType w:val="singleLevel"/>
    <w:tmpl w:val="824CFCA0"/>
    <w:lvl w:ilvl="0">
      <w:start w:val="1"/>
      <w:numFmt w:val="bullet"/>
      <w:lvlText w:val="•"/>
      <w:lvlJc w:val="left"/>
      <w:pPr>
        <w:tabs>
          <w:tab w:val="num" w:pos="540"/>
        </w:tabs>
        <w:ind w:left="540" w:hanging="270"/>
      </w:pPr>
    </w:lvl>
  </w:abstractNum>
  <w:abstractNum w:abstractNumId="10" w15:restartNumberingAfterBreak="0">
    <w:nsid w:val="50411086"/>
    <w:multiLevelType w:val="singleLevel"/>
    <w:tmpl w:val="080A000F"/>
    <w:lvl w:ilvl="0">
      <w:start w:val="1"/>
      <w:numFmt w:val="decimal"/>
      <w:pStyle w:val="Listaconvietas"/>
      <w:lvlText w:val="%1."/>
      <w:lvlJc w:val="left"/>
      <w:pPr>
        <w:tabs>
          <w:tab w:val="num" w:pos="720"/>
        </w:tabs>
        <w:ind w:left="720" w:hanging="360"/>
      </w:pPr>
    </w:lvl>
  </w:abstractNum>
  <w:num w:numId="1" w16cid:durableId="105604714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C27F8"/>
    <w:rsid w:val="006D67AC"/>
    <w:rsid w:val="007A0529"/>
    <w:rsid w:val="009D742A"/>
    <w:rsid w:val="009E2BCB"/>
    <w:rsid w:val="00A37794"/>
    <w:rsid w:val="00AA1D8D"/>
    <w:rsid w:val="00B47730"/>
    <w:rsid w:val="00B640D4"/>
    <w:rsid w:val="00C920D7"/>
    <w:rsid w:val="00CB0664"/>
    <w:rsid w:val="00E54546"/>
    <w:rsid w:val="00F221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73C11"/>
  <w14:defaultImageDpi w14:val="300"/>
  <w15:docId w15:val="{85A79716-2D5B-F747-B460-970E07AF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60" w:line="320" w:lineRule="auto"/>
      <w:jc w:val="both"/>
    </w:pPr>
    <w:rPr>
      <w:rFonts w:ascii="Aptos" w:hAnsi="Aptos"/>
      <w:color w:val="1F2937"/>
    </w:rPr>
  </w:style>
  <w:style w:type="paragraph" w:styleId="Ttulo1">
    <w:name w:val="heading 1"/>
    <w:basedOn w:val="Normal"/>
    <w:next w:val="Normal"/>
    <w:link w:val="Ttulo1Car"/>
    <w:uiPriority w:val="9"/>
    <w:qFormat/>
    <w:rsid w:val="00FC693F"/>
    <w:pPr>
      <w:keepNext/>
      <w:keepLines/>
      <w:spacing w:before="360" w:after="200"/>
      <w:outlineLvl w:val="0"/>
    </w:pPr>
    <w:rPr>
      <w:rFonts w:asciiTheme="majorHAnsi" w:eastAsiaTheme="majorEastAsia" w:hAnsiTheme="majorHAnsi" w:cstheme="majorBidi"/>
      <w:b/>
      <w:bCs/>
      <w:color w:val="073A84"/>
      <w:sz w:val="32"/>
      <w:szCs w:val="28"/>
    </w:rPr>
  </w:style>
  <w:style w:type="paragraph" w:styleId="Ttulo2">
    <w:name w:val="heading 2"/>
    <w:basedOn w:val="Normal"/>
    <w:next w:val="Normal"/>
    <w:link w:val="Ttulo2Car"/>
    <w:uiPriority w:val="9"/>
    <w:unhideWhenUsed/>
    <w:qFormat/>
    <w:rsid w:val="00FC693F"/>
    <w:pPr>
      <w:keepNext/>
      <w:keepLines/>
      <w:spacing w:before="240" w:after="120"/>
      <w:outlineLvl w:val="1"/>
    </w:pPr>
    <w:rPr>
      <w:rFonts w:asciiTheme="majorHAnsi" w:eastAsiaTheme="majorEastAsia" w:hAnsiTheme="majorHAnsi" w:cstheme="majorBidi"/>
      <w:b/>
      <w:bCs/>
      <w:color w:val="0B50B6"/>
      <w:sz w:val="26"/>
      <w:szCs w:val="26"/>
    </w:rPr>
  </w:style>
  <w:style w:type="paragraph" w:styleId="Ttulo3">
    <w:name w:val="heading 3"/>
    <w:basedOn w:val="Normal"/>
    <w:next w:val="Normal"/>
    <w:link w:val="Ttulo3Car"/>
    <w:uiPriority w:val="9"/>
    <w:unhideWhenUsed/>
    <w:qFormat/>
    <w:rsid w:val="00FC693F"/>
    <w:pPr>
      <w:keepNext/>
      <w:keepLines/>
      <w:spacing w:before="160" w:after="80"/>
      <w:outlineLvl w:val="2"/>
    </w:pPr>
    <w:rPr>
      <w:rFonts w:asciiTheme="majorHAnsi" w:eastAsiaTheme="majorEastAsia" w:hAnsiTheme="majorHAnsi" w:cstheme="majorBidi"/>
      <w:b/>
      <w:bCs/>
      <w:color w:val="0B50B6"/>
      <w:sz w:val="24"/>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link w:val="SinespaciadoCar"/>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spacing w:after="80" w:line="290" w:lineRule="auto"/>
      <w:ind w:left="540" w:hanging="279"/>
      <w:contextualSpacing/>
    </w:pPr>
    <w:rPr>
      <w:rFonts w:ascii="Calibri" w:hAnsi="Calibri"/>
    </w:rPr>
  </w:style>
  <w:style w:type="paragraph" w:styleId="Listaconvietas2">
    <w:name w:val="List Bullet 2"/>
    <w:basedOn w:val="Normal"/>
    <w:uiPriority w:val="99"/>
    <w:unhideWhenUsed/>
    <w:rsid w:val="00326F90"/>
    <w:pPr>
      <w:tabs>
        <w:tab w:val="num" w:pos="360"/>
      </w:tabs>
      <w:contextualSpacing/>
    </w:pPr>
  </w:style>
  <w:style w:type="paragraph" w:styleId="Listaconvietas3">
    <w:name w:val="List Bullet 3"/>
    <w:basedOn w:val="Normal"/>
    <w:uiPriority w:val="99"/>
    <w:unhideWhenUsed/>
    <w:rsid w:val="00326F90"/>
    <w:pPr>
      <w:tabs>
        <w:tab w:val="num" w:pos="360"/>
      </w:tabs>
      <w:contextualSpacing/>
    </w:pPr>
  </w:style>
  <w:style w:type="paragraph" w:styleId="Listaconnmeros">
    <w:name w:val="List Number"/>
    <w:basedOn w:val="Normal"/>
    <w:uiPriority w:val="99"/>
    <w:unhideWhenUsed/>
    <w:rsid w:val="00326F90"/>
    <w:pPr>
      <w:tabs>
        <w:tab w:val="num" w:pos="360"/>
      </w:tabs>
      <w:spacing w:after="80" w:line="290" w:lineRule="auto"/>
      <w:ind w:left="540" w:hanging="279"/>
      <w:contextualSpacing/>
    </w:pPr>
    <w:rPr>
      <w:rFonts w:ascii="Calibri" w:hAnsi="Calibri"/>
    </w:rPr>
  </w:style>
  <w:style w:type="paragraph" w:styleId="Listaconnmeros2">
    <w:name w:val="List Number 2"/>
    <w:basedOn w:val="Normal"/>
    <w:uiPriority w:val="99"/>
    <w:unhideWhenUsed/>
    <w:rsid w:val="0029639D"/>
    <w:pPr>
      <w:tabs>
        <w:tab w:val="num" w:pos="360"/>
      </w:tabs>
      <w:contextualSpacing/>
    </w:pPr>
  </w:style>
  <w:style w:type="paragraph" w:styleId="Listaconnmeros3">
    <w:name w:val="List Number 3"/>
    <w:basedOn w:val="Normal"/>
    <w:uiPriority w:val="99"/>
    <w:unhideWhenUsed/>
    <w:rsid w:val="0029639D"/>
    <w:pPr>
      <w:tabs>
        <w:tab w:val="num" w:pos="360"/>
      </w:tabs>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before="80" w:line="240" w:lineRule="auto"/>
      <w:jc w:val="center"/>
    </w:pPr>
    <w:rPr>
      <w:rFonts w:ascii="Calibri" w:hAnsi="Calibri"/>
      <w:b/>
      <w:bCs/>
      <w:i/>
      <w:color w:val="5B6573"/>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Note">
    <w:name w:val="Source Note"/>
    <w:pPr>
      <w:spacing w:before="80" w:after="120" w:line="252" w:lineRule="auto"/>
    </w:pPr>
    <w:rPr>
      <w:rFonts w:ascii="Calibri" w:hAnsi="Calibri"/>
      <w:i/>
      <w:color w:val="5B6573"/>
      <w:sz w:val="17"/>
    </w:rPr>
  </w:style>
  <w:style w:type="character" w:customStyle="1" w:styleId="SinespaciadoCar">
    <w:name w:val="Sin espaciado Car"/>
    <w:basedOn w:val="Fuentedeprrafopredeter"/>
    <w:link w:val="Sinespaciado"/>
    <w:uiPriority w:val="1"/>
    <w:rsid w:val="00A3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560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técnico en construcción: diagnóstico y reestructuración física y económica de la actualización catastral urbana de Úmbita</dc:title>
  <dc:subject>Componente físico desarrollado para aprobación y componente económico en construcción</dc:subject>
  <dc:creator>Oscar Fernando Cante; Iván Mauricio Cruz; Juan Vicente Jiménez</dc:creator>
  <cp:keywords/>
  <dc:description>Documento público para socialización con la comunidad y sustentación ante el IGAC.</dc:description>
  <cp:lastModifiedBy>ocar.cante@outlook.com</cp:lastModifiedBy>
  <cp:revision>7</cp:revision>
  <dcterms:created xsi:type="dcterms:W3CDTF">2013-12-23T23:15:00Z</dcterms:created>
  <dcterms:modified xsi:type="dcterms:W3CDTF">2026-07-14T13:17:00Z</dcterms:modified>
  <cp:category/>
</cp:coreProperties>
</file>